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A86D4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9B15A35" w:rsidR="00093CA9" w:rsidRDefault="001242A7"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9866A19" w:rsidR="00093CA9" w:rsidRPr="00310C15" w:rsidRDefault="00CF766C" w:rsidP="00310C15">
            <w:pPr>
              <w:spacing w:before="0" w:after="0"/>
              <w:rPr>
                <w:rFonts w:ascii="Aptos Narrow" w:hAnsi="Aptos Narrow"/>
                <w:color w:val="000000"/>
              </w:rPr>
            </w:pPr>
            <w:r w:rsidRPr="00CF766C">
              <w:rPr>
                <w:rFonts w:ascii="Aptos Narrow" w:hAnsi="Aptos Narrow"/>
                <w:color w:val="000000"/>
              </w:rPr>
              <w:t>Sustainable Procurement Guide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4E94815" w:rsidR="00093CA9" w:rsidRPr="003A05E1" w:rsidRDefault="003A05E1" w:rsidP="00093CA9">
            <w:pPr>
              <w:rPr>
                <w:rFonts w:cstheme="minorHAnsi"/>
              </w:rPr>
            </w:pPr>
            <w:hyperlink r:id="rId19" w:history="1">
              <w:r w:rsidRPr="003A05E1">
                <w:rPr>
                  <w:rStyle w:val="Hyperlink"/>
                  <w:rFonts w:eastAsia="Times New Roman" w:cstheme="minorHAnsi"/>
                  <w:lang w:eastAsia="en-GB"/>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C9026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A4B02C8"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4A10C15" w:rsidR="00093CA9" w:rsidRDefault="00CF766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81493A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1597B0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67C5583" w:rsidR="00093CA9" w:rsidRPr="003A05E1" w:rsidRDefault="003A05E1" w:rsidP="003A05E1">
            <w:pPr>
              <w:spacing w:after="0" w:line="276" w:lineRule="auto"/>
              <w:textAlignment w:val="baseline"/>
              <w:rPr>
                <w:rFonts w:eastAsia="Times New Roman" w:cstheme="minorHAnsi"/>
                <w:lang w:eastAsia="en-GB"/>
              </w:rPr>
            </w:pPr>
            <w:r w:rsidRPr="003A05E1">
              <w:rPr>
                <w:rFonts w:eastAsia="Times New Roman" w:cstheme="minorHAnsi"/>
                <w:lang w:eastAsia="en-GB"/>
              </w:rPr>
              <w:t xml:space="preserve">Prior to the commencement of the </w:t>
            </w:r>
            <w:r w:rsidR="00056FE1" w:rsidRPr="00056FE1">
              <w:rPr>
                <w:color w:val="000000" w:themeColor="text1"/>
              </w:rPr>
              <w:t>Environmentally Sustainable Procurement Policy</w:t>
            </w:r>
            <w:r w:rsidR="00056FE1" w:rsidRPr="003A05E1">
              <w:rPr>
                <w:rFonts w:eastAsia="Times New Roman" w:cstheme="minorHAnsi"/>
                <w:lang w:eastAsia="en-GB"/>
              </w:rPr>
              <w:t xml:space="preserve"> </w:t>
            </w:r>
            <w:r w:rsidR="00056FE1">
              <w:rPr>
                <w:rFonts w:eastAsia="Times New Roman" w:cstheme="minorHAnsi"/>
                <w:lang w:eastAsia="en-GB"/>
              </w:rPr>
              <w:t>(</w:t>
            </w:r>
            <w:r w:rsidRPr="003A05E1">
              <w:rPr>
                <w:rFonts w:eastAsia="Times New Roman" w:cstheme="minorHAnsi"/>
                <w:lang w:eastAsia="en-GB"/>
              </w:rPr>
              <w:t>ESP Policy</w:t>
            </w:r>
            <w:r w:rsidR="00056FE1">
              <w:rPr>
                <w:rFonts w:eastAsia="Times New Roman" w:cstheme="minorHAnsi"/>
                <w:lang w:eastAsia="en-GB"/>
              </w:rPr>
              <w:t>)</w:t>
            </w:r>
            <w:r w:rsidRPr="003A05E1">
              <w:rPr>
                <w:rFonts w:eastAsia="Times New Roman" w:cstheme="minorHAnsi"/>
                <w:lang w:eastAsia="en-GB"/>
              </w:rPr>
              <w:t xml:space="preserve">, the Sustainable Procurement Guide was rolled out to provide clarity and preliminary guidance for the sustainable procurement of goods and services by Commonwealth entities. </w:t>
            </w:r>
            <w:r w:rsidR="00C61C00" w:rsidRPr="00C61C00">
              <w:rPr>
                <w:rFonts w:eastAsia="Times New Roman" w:cstheme="minorHAnsi"/>
                <w:lang w:eastAsia="en-GB"/>
              </w:rPr>
              <w:t xml:space="preserve">This Guide is designed for officials in non-corporate Commonwealth entities and prescribed corporate Commonwealth entities listed in section 30 of the </w:t>
            </w:r>
            <w:r w:rsidR="00C61C00" w:rsidRPr="007719A2">
              <w:rPr>
                <w:rFonts w:eastAsia="Times New Roman" w:cstheme="minorHAnsi"/>
                <w:i/>
                <w:iCs/>
                <w:lang w:eastAsia="en-GB"/>
              </w:rPr>
              <w:t>Public Governance, Performance and Accountability Rule 2014</w:t>
            </w:r>
            <w:r w:rsidR="00C61C00" w:rsidRPr="00C61C00">
              <w:rPr>
                <w:rFonts w:eastAsia="Times New Roman" w:cstheme="minorHAnsi"/>
                <w:lang w:eastAsia="en-GB"/>
              </w:rPr>
              <w:t>, although all Commonwealth entities are encouraged to apply its guidance. It focuses on how Commonwealth officials can integrate environmental sustainability considerations into each step of the procurement process</w:t>
            </w:r>
            <w:r w:rsidRPr="003A05E1">
              <w:rPr>
                <w:rFonts w:eastAsia="Times New Roman" w:cstheme="minorHAnsi"/>
                <w:lang w:eastAsia="en-GB"/>
              </w:rPr>
              <w:t>. These considerations include (without limitation) factors such as energy consumption, reduction of waste, packaging, the use of recycled products and greenhouse emissions.</w:t>
            </w:r>
            <w:r w:rsidR="00C61C00">
              <w:t xml:space="preserve"> </w:t>
            </w:r>
            <w:r w:rsidR="00F57D8D" w:rsidRPr="00F57D8D">
              <w:rPr>
                <w:rFonts w:eastAsia="Times New Roman" w:cstheme="minorHAnsi"/>
                <w:lang w:eastAsia="en-GB"/>
              </w:rPr>
              <w:t>While the Guide is not mandatory, its principles may be reflected in procurement documentation and evaluation criteria, meaning suppliers may be asked to demonstrate how their offerings align with environmental sustainability objectives</w:t>
            </w:r>
            <w:r w:rsidR="002225DB">
              <w:rPr>
                <w:rFonts w:eastAsia="Times New Roman" w:cstheme="minorHAnsi"/>
                <w:lang w:eastAsia="en-GB"/>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69568A8" w:rsidR="00093CA9" w:rsidRDefault="00056FE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68C880" w:rsidR="00093CA9" w:rsidRPr="00173D7C" w:rsidRDefault="00056FE1"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19316B3" w:rsidR="00093CA9" w:rsidRPr="00173D7C" w:rsidRDefault="00056FE1"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3A91B2B" w:rsidR="00093CA9" w:rsidRPr="00587FAE" w:rsidRDefault="00056FE1" w:rsidP="00093CA9">
            <w:pPr>
              <w:rPr>
                <w:color w:val="000000" w:themeColor="text1"/>
              </w:rPr>
            </w:pPr>
            <w:r>
              <w:rPr>
                <w:color w:val="000000" w:themeColor="text1"/>
              </w:rPr>
              <w:t>The ESP Policy</w:t>
            </w:r>
            <w:r w:rsidRPr="00056FE1">
              <w:rPr>
                <w:color w:val="000000" w:themeColor="text1"/>
              </w:rPr>
              <w:t xml:space="preserve"> takes effect in two stages from 1 July 2024 and 1 July 2025.</w:t>
            </w:r>
            <w:r>
              <w:rPr>
                <w:color w:val="000000" w:themeColor="text1"/>
              </w:rPr>
              <w:t xml:space="preserve"> The Guide commences in the 2024 stage.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342D677" w:rsidR="00093CA9" w:rsidRDefault="00056FE1" w:rsidP="00093CA9">
            <w:r w:rsidRPr="00056FE1">
              <w:t>Hon Tanya Plibersek MP</w:t>
            </w:r>
            <w:r>
              <w:t>,</w:t>
            </w:r>
            <w:r w:rsidRPr="00056FE1">
              <w:t xml:space="preserve"> Minister for the Environment and Water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8B0227A" w:rsidR="00093CA9" w:rsidRPr="006B7B0D" w:rsidRDefault="006B0905" w:rsidP="00093CA9">
            <w:r>
              <w:t>Australian Government Department of Climate Change, Energy, the Environment and Water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82761DB" w:rsidR="00093CA9" w:rsidRPr="006B7B0D" w:rsidRDefault="006B090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56C9E65" w:rsidR="00093CA9" w:rsidRDefault="002225DB"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9F98D32"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4E2AB724"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7C0CA8D"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A276156"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3CDD91C"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3B0F0234"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9D4689F"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74BE6C88"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8076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0A4CEF3"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89CC7DB"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D3287B2" w:rsidR="009F5822" w:rsidRDefault="002225DB" w:rsidP="00DD3144">
            <w:r>
              <w:t xml:space="preserve"> </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8076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4C21EA" w:rsidRPr="00610F28" w14:paraId="30EC8855" w14:textId="77777777" w:rsidTr="00610F28">
        <w:trPr>
          <w:trHeight w:val="24"/>
        </w:trPr>
        <w:tc>
          <w:tcPr>
            <w:tcW w:w="1066" w:type="dxa"/>
            <w:vAlign w:val="center"/>
          </w:tcPr>
          <w:p w14:paraId="04D7EE28" w14:textId="099BBC82" w:rsidR="004C21EA" w:rsidRPr="00610F28" w:rsidRDefault="004C21EA" w:rsidP="004C21EA">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4C21EA" w:rsidRPr="00610F28" w:rsidRDefault="004C21EA" w:rsidP="004C21EA">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4C21EA" w:rsidRPr="00610F28" w:rsidRDefault="004C21EA" w:rsidP="004C21EA">
            <w:pPr>
              <w:rPr>
                <w:rFonts w:ascii="Calibri" w:hAnsi="Calibri" w:cs="Calibri"/>
              </w:rPr>
            </w:pPr>
          </w:p>
        </w:tc>
        <w:tc>
          <w:tcPr>
            <w:tcW w:w="1740" w:type="dxa"/>
            <w:vAlign w:val="center"/>
          </w:tcPr>
          <w:p w14:paraId="61AE2F42" w14:textId="1AE96EF0" w:rsidR="004C21EA" w:rsidRPr="00610F28" w:rsidRDefault="004C21EA" w:rsidP="004C21EA">
            <w:pPr>
              <w:rPr>
                <w:rFonts w:ascii="Calibri" w:hAnsi="Calibri" w:cs="Calibri"/>
              </w:rPr>
            </w:pPr>
          </w:p>
        </w:tc>
        <w:tc>
          <w:tcPr>
            <w:tcW w:w="1740" w:type="dxa"/>
            <w:vAlign w:val="center"/>
          </w:tcPr>
          <w:p w14:paraId="7257E4AC" w14:textId="4E1C61D6" w:rsidR="004C21EA" w:rsidRPr="00610F28" w:rsidRDefault="004C21EA" w:rsidP="004C21EA">
            <w:pPr>
              <w:rPr>
                <w:rFonts w:ascii="Calibri" w:hAnsi="Calibri" w:cs="Calibri"/>
              </w:rPr>
            </w:pPr>
            <w:r>
              <w:rPr>
                <w:rFonts w:ascii="Calibri" w:hAnsi="Calibri" w:cs="Calibri"/>
              </w:rPr>
              <w:t>X</w:t>
            </w:r>
          </w:p>
        </w:tc>
      </w:tr>
      <w:tr w:rsidR="004C21EA" w:rsidRPr="00610F28" w14:paraId="03313D98" w14:textId="77777777" w:rsidTr="00610F28">
        <w:trPr>
          <w:trHeight w:val="24"/>
        </w:trPr>
        <w:tc>
          <w:tcPr>
            <w:tcW w:w="1066" w:type="dxa"/>
            <w:vAlign w:val="center"/>
          </w:tcPr>
          <w:p w14:paraId="7D36E34A" w14:textId="15ACAF90" w:rsidR="004C21EA" w:rsidRPr="00610F28" w:rsidRDefault="004C21EA" w:rsidP="004C21EA">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4C21EA" w:rsidRPr="00610F28" w:rsidRDefault="004C21EA" w:rsidP="004C21EA">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4C21EA" w:rsidRPr="00610F28" w:rsidRDefault="004C21EA" w:rsidP="004C21EA">
            <w:pPr>
              <w:rPr>
                <w:rFonts w:ascii="Calibri" w:hAnsi="Calibri" w:cs="Calibri"/>
              </w:rPr>
            </w:pPr>
          </w:p>
        </w:tc>
        <w:tc>
          <w:tcPr>
            <w:tcW w:w="1740" w:type="dxa"/>
            <w:vAlign w:val="center"/>
          </w:tcPr>
          <w:p w14:paraId="19CD4AFC" w14:textId="0851B9D8" w:rsidR="004C21EA" w:rsidRPr="00610F28" w:rsidRDefault="004C21EA" w:rsidP="004C21EA">
            <w:pPr>
              <w:rPr>
                <w:rFonts w:ascii="Calibri" w:hAnsi="Calibri" w:cs="Calibri"/>
              </w:rPr>
            </w:pPr>
          </w:p>
        </w:tc>
        <w:tc>
          <w:tcPr>
            <w:tcW w:w="1740" w:type="dxa"/>
            <w:vAlign w:val="center"/>
          </w:tcPr>
          <w:p w14:paraId="73C261DC" w14:textId="31E226A2" w:rsidR="004C21EA" w:rsidRPr="00610F28" w:rsidRDefault="004C21EA" w:rsidP="004C21EA">
            <w:pPr>
              <w:rPr>
                <w:rFonts w:ascii="Calibri" w:hAnsi="Calibri" w:cs="Calibri"/>
              </w:rPr>
            </w:pPr>
            <w:r>
              <w:rPr>
                <w:rFonts w:ascii="Calibri" w:hAnsi="Calibri" w:cs="Calibri"/>
              </w:rPr>
              <w:t>X</w:t>
            </w:r>
          </w:p>
        </w:tc>
      </w:tr>
      <w:tr w:rsidR="004C21EA" w:rsidRPr="00610F28" w14:paraId="59183813" w14:textId="77777777" w:rsidTr="00610F28">
        <w:trPr>
          <w:trHeight w:val="24"/>
        </w:trPr>
        <w:tc>
          <w:tcPr>
            <w:tcW w:w="1066" w:type="dxa"/>
            <w:vAlign w:val="center"/>
          </w:tcPr>
          <w:p w14:paraId="1314AFB0" w14:textId="725C6636" w:rsidR="004C21EA" w:rsidRPr="00610F28" w:rsidRDefault="004C21EA" w:rsidP="004C21EA">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4C21EA" w:rsidRPr="00610F28" w:rsidRDefault="004C21EA" w:rsidP="004C21EA">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4C21EA" w:rsidRPr="00610F28" w:rsidRDefault="004C21EA" w:rsidP="004C21EA">
            <w:pPr>
              <w:rPr>
                <w:rFonts w:ascii="Calibri" w:hAnsi="Calibri" w:cs="Calibri"/>
              </w:rPr>
            </w:pPr>
          </w:p>
        </w:tc>
        <w:tc>
          <w:tcPr>
            <w:tcW w:w="1740" w:type="dxa"/>
            <w:vAlign w:val="center"/>
          </w:tcPr>
          <w:p w14:paraId="2C5216D1" w14:textId="42533FFA" w:rsidR="004C21EA" w:rsidRPr="00610F28" w:rsidRDefault="004C21EA" w:rsidP="004C21EA">
            <w:pPr>
              <w:rPr>
                <w:rFonts w:ascii="Calibri" w:hAnsi="Calibri" w:cs="Calibri"/>
              </w:rPr>
            </w:pPr>
          </w:p>
        </w:tc>
        <w:tc>
          <w:tcPr>
            <w:tcW w:w="1740" w:type="dxa"/>
            <w:vAlign w:val="center"/>
          </w:tcPr>
          <w:p w14:paraId="6442287D" w14:textId="4BF0F12A" w:rsidR="004C21EA" w:rsidRPr="00610F28" w:rsidRDefault="004C21EA" w:rsidP="004C21EA">
            <w:pPr>
              <w:rPr>
                <w:rFonts w:ascii="Calibri" w:hAnsi="Calibri" w:cs="Calibri"/>
              </w:rPr>
            </w:pPr>
            <w:r>
              <w:rPr>
                <w:rFonts w:ascii="Calibri" w:hAnsi="Calibri" w:cs="Calibri"/>
              </w:rPr>
              <w:t>X</w:t>
            </w:r>
          </w:p>
        </w:tc>
      </w:tr>
      <w:tr w:rsidR="004C21EA" w:rsidRPr="00610F28" w14:paraId="48369ACB" w14:textId="77777777" w:rsidTr="00610F28">
        <w:trPr>
          <w:trHeight w:val="24"/>
        </w:trPr>
        <w:tc>
          <w:tcPr>
            <w:tcW w:w="1066" w:type="dxa"/>
            <w:vAlign w:val="center"/>
          </w:tcPr>
          <w:p w14:paraId="112C03A0" w14:textId="67B36F81" w:rsidR="004C21EA" w:rsidRPr="00610F28" w:rsidRDefault="004C21EA" w:rsidP="004C21EA">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4C21EA" w:rsidRPr="00610F28" w:rsidRDefault="004C21EA" w:rsidP="004C21EA">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4C21EA" w:rsidRPr="00610F28" w:rsidRDefault="004C21EA" w:rsidP="004C21EA">
            <w:pPr>
              <w:rPr>
                <w:rFonts w:ascii="Calibri" w:hAnsi="Calibri" w:cs="Calibri"/>
              </w:rPr>
            </w:pPr>
          </w:p>
        </w:tc>
        <w:tc>
          <w:tcPr>
            <w:tcW w:w="1740" w:type="dxa"/>
            <w:vAlign w:val="center"/>
          </w:tcPr>
          <w:p w14:paraId="1DB61E0D" w14:textId="0ECA2F9E" w:rsidR="004C21EA" w:rsidRPr="00610F28" w:rsidRDefault="004C21EA" w:rsidP="004C21EA">
            <w:pPr>
              <w:rPr>
                <w:rFonts w:ascii="Calibri" w:hAnsi="Calibri" w:cs="Calibri"/>
              </w:rPr>
            </w:pPr>
          </w:p>
        </w:tc>
        <w:tc>
          <w:tcPr>
            <w:tcW w:w="1740" w:type="dxa"/>
            <w:vAlign w:val="center"/>
          </w:tcPr>
          <w:p w14:paraId="6EAB99C2" w14:textId="7560A9B4" w:rsidR="004C21EA" w:rsidRPr="00610F28" w:rsidRDefault="004C21EA" w:rsidP="004C21EA">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31409306" w:rsidR="00D4323A" w:rsidRPr="00610F28" w:rsidRDefault="00C6506A"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15DDD76C" w:rsidR="00D4323A" w:rsidRPr="00610F28" w:rsidRDefault="00C5601E"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2EDFA8DA" w:rsidR="00D4323A" w:rsidRPr="00610F28" w:rsidRDefault="00C5601E"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55515CA" w:rsidR="00D4323A" w:rsidRPr="00610F28" w:rsidRDefault="00C6506A"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6827C92E" w:rsidR="00D4323A" w:rsidRPr="00610F28" w:rsidRDefault="00C1757D"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309CE08C" w:rsidR="00D4323A" w:rsidRPr="00610F28" w:rsidRDefault="00C1757D"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C319A3B" w:rsidR="00D4323A" w:rsidRPr="00610F28" w:rsidRDefault="00C6506A"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6B9ECD3B" w:rsidR="00D4323A" w:rsidRPr="00610F28" w:rsidRDefault="00D4323A" w:rsidP="00610F28">
            <w:pPr>
              <w:rPr>
                <w:rFonts w:ascii="Calibri" w:hAnsi="Calibri" w:cs="Calibri"/>
              </w:rPr>
            </w:pPr>
          </w:p>
        </w:tc>
        <w:tc>
          <w:tcPr>
            <w:tcW w:w="1740" w:type="dxa"/>
            <w:vAlign w:val="center"/>
          </w:tcPr>
          <w:p w14:paraId="09A03F64" w14:textId="46344E17" w:rsidR="00D4323A" w:rsidRPr="00610F28" w:rsidRDefault="00C1757D"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D91730C"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66AE5B06"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4C21EA" w:rsidRPr="00610F28" w14:paraId="5845EF5A" w14:textId="77777777" w:rsidTr="00610F28">
        <w:trPr>
          <w:trHeight w:val="35"/>
        </w:trPr>
        <w:tc>
          <w:tcPr>
            <w:tcW w:w="1066" w:type="dxa"/>
            <w:vAlign w:val="center"/>
          </w:tcPr>
          <w:p w14:paraId="298E9C90" w14:textId="0EE0508F" w:rsidR="004C21EA" w:rsidRPr="00610F28" w:rsidRDefault="004C21EA" w:rsidP="004C21EA">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4C21EA" w:rsidRPr="00610F28" w:rsidRDefault="004C21EA" w:rsidP="004C21EA">
            <w:pPr>
              <w:rPr>
                <w:rFonts w:ascii="Calibri" w:hAnsi="Calibri" w:cs="Calibri"/>
              </w:rPr>
            </w:pPr>
            <w:r w:rsidRPr="00610F28">
              <w:rPr>
                <w:rFonts w:ascii="Calibri" w:hAnsi="Calibri" w:cs="Calibri"/>
              </w:rPr>
              <w:t>Banks</w:t>
            </w:r>
          </w:p>
        </w:tc>
        <w:tc>
          <w:tcPr>
            <w:tcW w:w="1740" w:type="dxa"/>
            <w:vAlign w:val="center"/>
          </w:tcPr>
          <w:p w14:paraId="5F862D6D" w14:textId="77777777" w:rsidR="004C21EA" w:rsidRPr="00610F28" w:rsidRDefault="004C21EA" w:rsidP="004C21EA">
            <w:pPr>
              <w:rPr>
                <w:rFonts w:ascii="Calibri" w:hAnsi="Calibri" w:cs="Calibri"/>
              </w:rPr>
            </w:pPr>
          </w:p>
        </w:tc>
        <w:tc>
          <w:tcPr>
            <w:tcW w:w="1740" w:type="dxa"/>
            <w:vAlign w:val="center"/>
          </w:tcPr>
          <w:p w14:paraId="39899F5E" w14:textId="7534161C" w:rsidR="004C21EA" w:rsidRPr="00610F28" w:rsidRDefault="004C21EA" w:rsidP="004C21EA">
            <w:pPr>
              <w:rPr>
                <w:rFonts w:ascii="Calibri" w:hAnsi="Calibri" w:cs="Calibri"/>
              </w:rPr>
            </w:pPr>
          </w:p>
        </w:tc>
        <w:tc>
          <w:tcPr>
            <w:tcW w:w="1740" w:type="dxa"/>
            <w:vAlign w:val="center"/>
          </w:tcPr>
          <w:p w14:paraId="6FB39AC8" w14:textId="7A1FB954" w:rsidR="004C21EA" w:rsidRPr="00610F28" w:rsidRDefault="004C21EA" w:rsidP="004C21EA">
            <w:pPr>
              <w:rPr>
                <w:rFonts w:ascii="Calibri" w:hAnsi="Calibri" w:cs="Calibri"/>
              </w:rPr>
            </w:pPr>
            <w:r>
              <w:rPr>
                <w:rFonts w:ascii="Calibri" w:hAnsi="Calibri" w:cs="Calibri"/>
              </w:rPr>
              <w:t>X</w:t>
            </w:r>
          </w:p>
        </w:tc>
      </w:tr>
      <w:tr w:rsidR="004C21EA" w:rsidRPr="00610F28" w14:paraId="0F0903E8" w14:textId="77777777" w:rsidTr="00610F28">
        <w:trPr>
          <w:trHeight w:val="35"/>
        </w:trPr>
        <w:tc>
          <w:tcPr>
            <w:tcW w:w="1066" w:type="dxa"/>
            <w:vAlign w:val="center"/>
          </w:tcPr>
          <w:p w14:paraId="0DFC43EA" w14:textId="3C076310" w:rsidR="004C21EA" w:rsidRPr="00610F28" w:rsidRDefault="004C21EA" w:rsidP="004C21EA">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4C21EA" w:rsidRPr="00610F28" w:rsidRDefault="004C21EA" w:rsidP="004C21EA">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4C21EA" w:rsidRPr="00610F28" w:rsidRDefault="004C21EA" w:rsidP="004C21EA">
            <w:pPr>
              <w:rPr>
                <w:rFonts w:ascii="Calibri" w:hAnsi="Calibri" w:cs="Calibri"/>
              </w:rPr>
            </w:pPr>
          </w:p>
        </w:tc>
        <w:tc>
          <w:tcPr>
            <w:tcW w:w="1740" w:type="dxa"/>
            <w:vAlign w:val="center"/>
          </w:tcPr>
          <w:p w14:paraId="4D665AA6" w14:textId="6A412C2D" w:rsidR="004C21EA" w:rsidRPr="00610F28" w:rsidRDefault="004C21EA" w:rsidP="004C21EA">
            <w:pPr>
              <w:rPr>
                <w:rFonts w:ascii="Calibri" w:hAnsi="Calibri" w:cs="Calibri"/>
              </w:rPr>
            </w:pPr>
          </w:p>
        </w:tc>
        <w:tc>
          <w:tcPr>
            <w:tcW w:w="1740" w:type="dxa"/>
            <w:vAlign w:val="center"/>
          </w:tcPr>
          <w:p w14:paraId="6AB0786E" w14:textId="2E15C593" w:rsidR="004C21EA" w:rsidRPr="00610F28" w:rsidRDefault="004C21EA" w:rsidP="004C21EA">
            <w:pPr>
              <w:rPr>
                <w:rFonts w:ascii="Calibri" w:hAnsi="Calibri" w:cs="Calibri"/>
              </w:rPr>
            </w:pPr>
            <w:r>
              <w:rPr>
                <w:rFonts w:ascii="Calibri" w:hAnsi="Calibri" w:cs="Calibri"/>
              </w:rPr>
              <w:t>X</w:t>
            </w:r>
          </w:p>
        </w:tc>
      </w:tr>
      <w:tr w:rsidR="004C21EA" w:rsidRPr="00610F28" w14:paraId="21533EE8" w14:textId="77777777" w:rsidTr="00610F28">
        <w:trPr>
          <w:trHeight w:val="35"/>
        </w:trPr>
        <w:tc>
          <w:tcPr>
            <w:tcW w:w="1066" w:type="dxa"/>
            <w:vAlign w:val="center"/>
          </w:tcPr>
          <w:p w14:paraId="67E79CFE" w14:textId="639B722F" w:rsidR="004C21EA" w:rsidRPr="00610F28" w:rsidRDefault="004C21EA" w:rsidP="004C21EA">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4C21EA" w:rsidRPr="00610F28" w:rsidRDefault="004C21EA" w:rsidP="004C21EA">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4C21EA" w:rsidRPr="00610F28" w:rsidRDefault="004C21EA" w:rsidP="004C21EA">
            <w:pPr>
              <w:rPr>
                <w:rFonts w:ascii="Calibri" w:hAnsi="Calibri" w:cs="Calibri"/>
              </w:rPr>
            </w:pPr>
          </w:p>
        </w:tc>
        <w:tc>
          <w:tcPr>
            <w:tcW w:w="1740" w:type="dxa"/>
            <w:vAlign w:val="center"/>
          </w:tcPr>
          <w:p w14:paraId="79C41BE9" w14:textId="6148ABDD" w:rsidR="004C21EA" w:rsidRPr="00610F28" w:rsidRDefault="004C21EA" w:rsidP="004C21EA">
            <w:pPr>
              <w:rPr>
                <w:rFonts w:ascii="Calibri" w:hAnsi="Calibri" w:cs="Calibri"/>
              </w:rPr>
            </w:pPr>
          </w:p>
        </w:tc>
        <w:tc>
          <w:tcPr>
            <w:tcW w:w="1740" w:type="dxa"/>
            <w:vAlign w:val="center"/>
          </w:tcPr>
          <w:p w14:paraId="736FC130" w14:textId="14496E33" w:rsidR="004C21EA" w:rsidRPr="00610F28" w:rsidRDefault="004C21EA" w:rsidP="004C21EA">
            <w:pPr>
              <w:rPr>
                <w:rFonts w:ascii="Calibri" w:hAnsi="Calibri" w:cs="Calibri"/>
              </w:rPr>
            </w:pPr>
            <w:r>
              <w:rPr>
                <w:rFonts w:ascii="Calibri" w:hAnsi="Calibri" w:cs="Calibri"/>
              </w:rPr>
              <w:t>X</w:t>
            </w:r>
          </w:p>
        </w:tc>
      </w:tr>
      <w:tr w:rsidR="004C21EA" w:rsidRPr="00610F28" w14:paraId="67B602C5" w14:textId="77777777" w:rsidTr="00610F28">
        <w:trPr>
          <w:trHeight w:val="35"/>
        </w:trPr>
        <w:tc>
          <w:tcPr>
            <w:tcW w:w="1066" w:type="dxa"/>
            <w:vAlign w:val="center"/>
          </w:tcPr>
          <w:p w14:paraId="11A1167D" w14:textId="3F68BEDA" w:rsidR="004C21EA" w:rsidRPr="00610F28" w:rsidRDefault="004C21EA" w:rsidP="004C21E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4C21EA" w:rsidRPr="00610F28" w:rsidRDefault="004C21EA" w:rsidP="004C21EA">
            <w:pPr>
              <w:rPr>
                <w:rFonts w:ascii="Calibri" w:hAnsi="Calibri" w:cs="Calibri"/>
              </w:rPr>
            </w:pPr>
            <w:r w:rsidRPr="00610F28">
              <w:rPr>
                <w:rFonts w:ascii="Calibri" w:hAnsi="Calibri" w:cs="Calibri"/>
              </w:rPr>
              <w:t>Asset Managers</w:t>
            </w:r>
          </w:p>
        </w:tc>
        <w:tc>
          <w:tcPr>
            <w:tcW w:w="1740" w:type="dxa"/>
            <w:vAlign w:val="center"/>
          </w:tcPr>
          <w:p w14:paraId="4D16841D" w14:textId="77777777" w:rsidR="004C21EA" w:rsidRPr="00610F28" w:rsidRDefault="004C21EA" w:rsidP="004C21EA">
            <w:pPr>
              <w:rPr>
                <w:rFonts w:ascii="Calibri" w:hAnsi="Calibri" w:cs="Calibri"/>
              </w:rPr>
            </w:pPr>
          </w:p>
        </w:tc>
        <w:tc>
          <w:tcPr>
            <w:tcW w:w="1740" w:type="dxa"/>
            <w:vAlign w:val="center"/>
          </w:tcPr>
          <w:p w14:paraId="73D72360" w14:textId="3BF61E3E" w:rsidR="004C21EA" w:rsidRPr="00610F28" w:rsidRDefault="004C21EA" w:rsidP="004C21EA">
            <w:pPr>
              <w:rPr>
                <w:rFonts w:ascii="Calibri" w:hAnsi="Calibri" w:cs="Calibri"/>
              </w:rPr>
            </w:pPr>
          </w:p>
        </w:tc>
        <w:tc>
          <w:tcPr>
            <w:tcW w:w="1740" w:type="dxa"/>
            <w:vAlign w:val="center"/>
          </w:tcPr>
          <w:p w14:paraId="1F7507B9" w14:textId="60154D2D" w:rsidR="004C21EA" w:rsidRPr="00610F28" w:rsidRDefault="004C21EA" w:rsidP="004C21EA">
            <w:pPr>
              <w:rPr>
                <w:rFonts w:ascii="Calibri" w:hAnsi="Calibri" w:cs="Calibri"/>
              </w:rPr>
            </w:pPr>
            <w:r>
              <w:rPr>
                <w:rFonts w:ascii="Calibri" w:hAnsi="Calibri" w:cs="Calibri"/>
              </w:rPr>
              <w:t>X</w:t>
            </w:r>
          </w:p>
        </w:tc>
      </w:tr>
      <w:tr w:rsidR="004C21EA" w:rsidRPr="00610F28" w14:paraId="6FC07F31" w14:textId="77777777" w:rsidTr="00610F28">
        <w:trPr>
          <w:trHeight w:val="35"/>
        </w:trPr>
        <w:tc>
          <w:tcPr>
            <w:tcW w:w="1066" w:type="dxa"/>
            <w:vAlign w:val="center"/>
          </w:tcPr>
          <w:p w14:paraId="4C95331B" w14:textId="3F61029D" w:rsidR="004C21EA" w:rsidRPr="00610F28" w:rsidRDefault="004C21EA" w:rsidP="004C21EA">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4C21EA" w:rsidRPr="00610F28" w:rsidRDefault="004C21EA" w:rsidP="004C21EA">
            <w:pPr>
              <w:rPr>
                <w:rFonts w:ascii="Calibri" w:hAnsi="Calibri" w:cs="Calibri"/>
              </w:rPr>
            </w:pPr>
            <w:r w:rsidRPr="00610F28">
              <w:rPr>
                <w:rFonts w:ascii="Calibri" w:hAnsi="Calibri" w:cs="Calibri"/>
              </w:rPr>
              <w:t>Pension Funds</w:t>
            </w:r>
          </w:p>
        </w:tc>
        <w:tc>
          <w:tcPr>
            <w:tcW w:w="1740" w:type="dxa"/>
            <w:vAlign w:val="center"/>
          </w:tcPr>
          <w:p w14:paraId="47972807" w14:textId="77777777" w:rsidR="004C21EA" w:rsidRPr="00610F28" w:rsidRDefault="004C21EA" w:rsidP="004C21EA">
            <w:pPr>
              <w:rPr>
                <w:rFonts w:ascii="Calibri" w:hAnsi="Calibri" w:cs="Calibri"/>
              </w:rPr>
            </w:pPr>
          </w:p>
        </w:tc>
        <w:tc>
          <w:tcPr>
            <w:tcW w:w="1740" w:type="dxa"/>
            <w:vAlign w:val="center"/>
          </w:tcPr>
          <w:p w14:paraId="0CE7702F" w14:textId="6BF30C02" w:rsidR="004C21EA" w:rsidRPr="00610F28" w:rsidRDefault="004C21EA" w:rsidP="004C21EA">
            <w:pPr>
              <w:rPr>
                <w:rFonts w:ascii="Calibri" w:hAnsi="Calibri" w:cs="Calibri"/>
              </w:rPr>
            </w:pPr>
          </w:p>
        </w:tc>
        <w:tc>
          <w:tcPr>
            <w:tcW w:w="1740" w:type="dxa"/>
            <w:vAlign w:val="center"/>
          </w:tcPr>
          <w:p w14:paraId="25C7742C" w14:textId="2C3EAF76" w:rsidR="004C21EA" w:rsidRPr="00610F28" w:rsidRDefault="004C21EA" w:rsidP="004C21EA">
            <w:pPr>
              <w:rPr>
                <w:rFonts w:ascii="Calibri" w:hAnsi="Calibri" w:cs="Calibri"/>
              </w:rPr>
            </w:pPr>
            <w:r>
              <w:rPr>
                <w:rFonts w:ascii="Calibri" w:hAnsi="Calibri" w:cs="Calibri"/>
              </w:rPr>
              <w:t>X</w:t>
            </w: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49E6EC9D"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442B9C"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3512130B" w:rsidR="00C66EE0" w:rsidRPr="00610F28" w:rsidRDefault="00EA1A3A"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2887B5F" w:rsidR="00C66EE0" w:rsidRPr="00610F28" w:rsidRDefault="00767717" w:rsidP="00610F28">
            <w:pPr>
              <w:rPr>
                <w:rFonts w:ascii="Calibri" w:hAnsi="Calibri" w:cs="Calibri"/>
              </w:rPr>
            </w:pPr>
            <w:r>
              <w:rPr>
                <w:rFonts w:ascii="Calibri" w:hAnsi="Calibri" w:cs="Calibri"/>
              </w:rPr>
              <w:t>X</w:t>
            </w: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0FF0831" w:rsidR="00C66EE0" w:rsidRPr="00610F28" w:rsidRDefault="00767717"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479B258B" w:rsidR="00C66EE0" w:rsidRPr="00610F28" w:rsidRDefault="00767717" w:rsidP="00610F28">
            <w:pPr>
              <w:rPr>
                <w:rFonts w:ascii="Calibri" w:hAnsi="Calibri" w:cs="Calibri"/>
              </w:rPr>
            </w:pPr>
            <w:r>
              <w:rPr>
                <w:rFonts w:ascii="Calibri" w:hAnsi="Calibri" w:cs="Calibri"/>
              </w:rPr>
              <w:t>Furniture fittings and equipment and textiles.</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FF7C25" w14:textId="77777777" w:rsidR="00767717" w:rsidRDefault="00767717" w:rsidP="00610F28">
            <w:pPr>
              <w:rPr>
                <w:rFonts w:ascii="Calibri" w:hAnsi="Calibri" w:cs="Calibri"/>
              </w:rPr>
            </w:pPr>
            <w:r>
              <w:rPr>
                <w:rFonts w:ascii="Calibri" w:hAnsi="Calibri" w:cs="Calibri"/>
              </w:rPr>
              <w:t>Commonwealth entities procuring construction services greater than $7.5 million or product procurements at or above $1 million for:</w:t>
            </w:r>
          </w:p>
          <w:p w14:paraId="782584EF" w14:textId="46B20343" w:rsidR="00767717" w:rsidRPr="007719A2" w:rsidRDefault="00F779B1" w:rsidP="007719A2">
            <w:pPr>
              <w:pStyle w:val="ListParagraph"/>
              <w:numPr>
                <w:ilvl w:val="0"/>
                <w:numId w:val="49"/>
              </w:numPr>
              <w:rPr>
                <w:rFonts w:ascii="Calibri" w:hAnsi="Calibri" w:cs="Calibri"/>
              </w:rPr>
            </w:pPr>
            <w:proofErr w:type="gramStart"/>
            <w:r>
              <w:rPr>
                <w:rFonts w:ascii="Calibri" w:hAnsi="Calibri" w:cs="Calibri"/>
              </w:rPr>
              <w:t>t</w:t>
            </w:r>
            <w:r w:rsidR="00767717" w:rsidRPr="007719A2">
              <w:rPr>
                <w:rFonts w:ascii="Calibri" w:hAnsi="Calibri" w:cs="Calibri"/>
              </w:rPr>
              <w:t>extiles;</w:t>
            </w:r>
            <w:proofErr w:type="gramEnd"/>
          </w:p>
          <w:p w14:paraId="30B36680" w14:textId="77777777" w:rsidR="00767717" w:rsidRPr="007719A2" w:rsidRDefault="00767717" w:rsidP="007719A2">
            <w:pPr>
              <w:pStyle w:val="ListParagraph"/>
              <w:numPr>
                <w:ilvl w:val="0"/>
                <w:numId w:val="49"/>
              </w:numPr>
              <w:rPr>
                <w:rFonts w:ascii="Calibri" w:hAnsi="Calibri" w:cs="Calibri"/>
              </w:rPr>
            </w:pPr>
            <w:r w:rsidRPr="007719A2">
              <w:rPr>
                <w:rFonts w:ascii="Calibri" w:hAnsi="Calibri" w:cs="Calibri"/>
              </w:rPr>
              <w:t>furniture, fittings and equipment; or</w:t>
            </w:r>
          </w:p>
          <w:p w14:paraId="0601593B" w14:textId="77777777" w:rsidR="00C66EE0" w:rsidRPr="007719A2" w:rsidRDefault="00767717" w:rsidP="007719A2">
            <w:pPr>
              <w:pStyle w:val="ListParagraph"/>
              <w:numPr>
                <w:ilvl w:val="0"/>
                <w:numId w:val="49"/>
              </w:numPr>
              <w:rPr>
                <w:rFonts w:ascii="Calibri" w:hAnsi="Calibri" w:cs="Calibri"/>
              </w:rPr>
            </w:pPr>
            <w:r w:rsidRPr="007719A2">
              <w:rPr>
                <w:rFonts w:ascii="Calibri" w:hAnsi="Calibri" w:cs="Calibri"/>
              </w:rPr>
              <w:t>Information and communication technology goods,</w:t>
            </w:r>
          </w:p>
          <w:p w14:paraId="5D90B9C5" w14:textId="6CAE12C3" w:rsidR="00767717" w:rsidRPr="00610F28" w:rsidRDefault="00767717" w:rsidP="00610F28">
            <w:pPr>
              <w:rPr>
                <w:rFonts w:ascii="Calibri" w:hAnsi="Calibri" w:cs="Calibri"/>
              </w:rPr>
            </w:pPr>
            <w:r>
              <w:rPr>
                <w:rFonts w:ascii="Calibri" w:hAnsi="Calibri" w:cs="Calibri"/>
              </w:rPr>
              <w:t>must apply th</w:t>
            </w:r>
            <w:r w:rsidR="001576E7">
              <w:rPr>
                <w:rFonts w:ascii="Calibri" w:hAnsi="Calibri" w:cs="Calibri"/>
              </w:rPr>
              <w:t>e</w:t>
            </w:r>
            <w:r>
              <w:rPr>
                <w:rFonts w:ascii="Calibri" w:hAnsi="Calibri" w:cs="Calibri"/>
              </w:rPr>
              <w:t xml:space="preserve"> </w:t>
            </w:r>
            <w:r w:rsidR="001576E7" w:rsidRPr="001576E7">
              <w:rPr>
                <w:rFonts w:ascii="Calibri" w:hAnsi="Calibri" w:cs="Calibri"/>
                <w:lang w:val="en-AU"/>
              </w:rPr>
              <w:t>Environmentally Sustainable Procurement Policy</w:t>
            </w:r>
            <w:r w:rsidR="001576E7">
              <w:rPr>
                <w:rFonts w:ascii="Calibri" w:hAnsi="Calibri" w:cs="Calibri"/>
                <w:lang w:val="en-AU"/>
              </w:rPr>
              <w:t xml:space="preserve"> and this guide supports those entities with its implementation</w:t>
            </w:r>
            <w:r>
              <w:rPr>
                <w:rFonts w:ascii="Calibri" w:hAnsi="Calibri" w:cs="Calibri"/>
              </w:rPr>
              <w:t>.</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8076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843648C" w:rsidR="00C66EE0" w:rsidRPr="00610F28" w:rsidRDefault="00615D1C" w:rsidP="00610F28">
            <w:pPr>
              <w:rPr>
                <w:rFonts w:ascii="Calibri" w:hAnsi="Calibri" w:cs="Calibri"/>
              </w:rPr>
            </w:pPr>
            <w:r w:rsidRPr="00615D1C">
              <w:rPr>
                <w:rFonts w:ascii="Calibri" w:hAnsi="Calibri" w:cs="Calibri"/>
              </w:rPr>
              <w:t xml:space="preserve">Compliance with the Guide is not mandatory for any entity. However, the Guide is specifically designed for officials in non-corporate Commonwealth entities and prescribed corporate Commonwealth entities listed in section 30 of the </w:t>
            </w:r>
            <w:r w:rsidRPr="007719A2">
              <w:rPr>
                <w:rFonts w:ascii="Calibri" w:hAnsi="Calibri" w:cs="Calibri"/>
                <w:i/>
                <w:iCs/>
              </w:rPr>
              <w:t>Public Governance, Performance and Accountability Rule 2014</w:t>
            </w:r>
            <w:r w:rsidRPr="00615D1C">
              <w:rPr>
                <w:rFonts w:ascii="Calibri" w:hAnsi="Calibri" w:cs="Calibri"/>
              </w:rPr>
              <w:t>. While all Commonwealth entities are encouraged to apply the guidance, its use is discretionary and intended to support officials in embedding environmental sustainability into procurement processes. Suppliers are not required to comply with the Guide, but its principles may be reflected in procurement documentation and evaluation criteria issued by Commonwealth entities.</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296DD20" w:rsidR="00C66EE0" w:rsidRPr="00610F28" w:rsidRDefault="00C6506A"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4C7536A2"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47BDD4B8"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54922825" w:rsidR="00C66EE0" w:rsidRPr="00610F28" w:rsidRDefault="0046308D"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589677F3"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3B6358AC"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0F19FBDF" w:rsidR="00C66EE0" w:rsidRPr="00610F28" w:rsidRDefault="00C6506A"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70D97D0" w14:textId="77777777" w:rsidR="007039A7" w:rsidRDefault="008879AB" w:rsidP="00610F28">
            <w:pPr>
              <w:rPr>
                <w:rFonts w:ascii="Calibri" w:hAnsi="Calibri" w:cs="Calibri"/>
              </w:rPr>
            </w:pPr>
            <w:r w:rsidRPr="008879AB">
              <w:rPr>
                <w:rFonts w:ascii="Calibri" w:hAnsi="Calibri" w:cs="Calibri"/>
              </w:rPr>
              <w:t>There is evidence that the Guide is being implemented as a voluntary tool supporting the rollout of the Environmentally Sustainable Procurement Policy. The Guide is actively promoted by DCCEEW and supported by case studies</w:t>
            </w:r>
            <w:r>
              <w:rPr>
                <w:rFonts w:ascii="Calibri" w:hAnsi="Calibri" w:cs="Calibri"/>
              </w:rPr>
              <w:t xml:space="preserve"> and </w:t>
            </w:r>
            <w:r w:rsidRPr="008879AB">
              <w:rPr>
                <w:rFonts w:ascii="Calibri" w:hAnsi="Calibri" w:cs="Calibri"/>
              </w:rPr>
              <w:t>model clauses which assist Commonwealth entities in applying its principles.</w:t>
            </w:r>
            <w:r w:rsidR="007039A7">
              <w:rPr>
                <w:rFonts w:ascii="Calibri" w:hAnsi="Calibri" w:cs="Calibri"/>
              </w:rPr>
              <w:t xml:space="preserve"> </w:t>
            </w:r>
          </w:p>
          <w:p w14:paraId="791E3847" w14:textId="2790FF26" w:rsidR="007039A7" w:rsidRDefault="007039A7" w:rsidP="00610F28">
            <w:pPr>
              <w:rPr>
                <w:rFonts w:ascii="Calibri" w:hAnsi="Calibri" w:cs="Calibri"/>
              </w:rPr>
            </w:pPr>
            <w:hyperlink r:id="rId20" w:history="1">
              <w:r w:rsidRPr="007039A7">
                <w:rPr>
                  <w:rStyle w:val="Hyperlink"/>
                  <w:rFonts w:ascii="Calibri" w:hAnsi="Calibri" w:cs="Calibri"/>
                </w:rPr>
                <w:t>Toolkit and resources - DCCEEW</w:t>
              </w:r>
            </w:hyperlink>
          </w:p>
          <w:p w14:paraId="132CC192" w14:textId="501424F1" w:rsidR="00C66EE0" w:rsidRPr="00610F28" w:rsidRDefault="00C6506A" w:rsidP="00610F28">
            <w:pPr>
              <w:rPr>
                <w:rFonts w:ascii="Calibri" w:hAnsi="Calibri" w:cs="Calibri"/>
              </w:rPr>
            </w:pPr>
            <w:r>
              <w:rPr>
                <w:rFonts w:ascii="Calibri" w:hAnsi="Calibri" w:cs="Calibri"/>
              </w:rPr>
              <w:t>.</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lastRenderedPageBreak/>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3FAD6D00" w:rsidR="00C66EE0" w:rsidRPr="00610F28" w:rsidRDefault="00087B4E"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2CC293D0"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B3B7C0D"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41303DF" w:rsidR="00C66EE0" w:rsidRPr="00610F28" w:rsidRDefault="00087B4E"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5888534F" w:rsidR="00DF50B5" w:rsidRPr="00610F28" w:rsidRDefault="00087B4E"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lastRenderedPageBreak/>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412ED69E" w:rsidR="00DF50B5" w:rsidRPr="00610F28" w:rsidRDefault="00087B4E" w:rsidP="00610F28">
            <w:pPr>
              <w:rPr>
                <w:rFonts w:ascii="Calibri" w:hAnsi="Calibri" w:cs="Calibri"/>
              </w:rPr>
            </w:pPr>
            <w:r>
              <w:rPr>
                <w:rFonts w:ascii="Calibri" w:hAnsi="Calibri" w:cs="Calibri"/>
              </w:rPr>
              <w:t xml:space="preserve">Targets and guidance that the Guide recommends organisations align with include </w:t>
            </w:r>
            <w:r w:rsidRPr="00087B4E">
              <w:rPr>
                <w:rFonts w:ascii="Calibri" w:hAnsi="Calibri" w:cs="Calibri"/>
              </w:rPr>
              <w:t xml:space="preserve">the </w:t>
            </w:r>
            <w:hyperlink r:id="rId21" w:history="1">
              <w:r w:rsidR="000A3C68" w:rsidRPr="000A3C68">
                <w:rPr>
                  <w:rStyle w:val="Hyperlink"/>
                  <w:rFonts w:ascii="Calibri" w:hAnsi="Calibri" w:cs="Calibri"/>
                </w:rPr>
                <w:t>Australian Packaging Covenant Organisations’ National Packaging Targets</w:t>
              </w:r>
            </w:hyperlink>
            <w:r>
              <w:rPr>
                <w:rFonts w:ascii="Calibri" w:hAnsi="Calibri" w:cs="Calibri"/>
              </w:rPr>
              <w:t xml:space="preserve">. The Guide also recommends organisations set their own targets with examples at page 23 of the Guide. </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30326593" w:rsidR="00DF50B5" w:rsidRPr="00610F28" w:rsidRDefault="00087B4E"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86F7459" w:rsidR="00DF50B5" w:rsidRPr="00610F28" w:rsidRDefault="00087B4E"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6CF39CD" w:rsidR="00DF50B5" w:rsidRPr="00610F28" w:rsidRDefault="00087B4E"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E91B2E" w:rsidR="00DF50B5" w:rsidRPr="00610F28" w:rsidRDefault="00087B4E"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7C485E8" w:rsidR="00DF50B5" w:rsidRPr="00610F28" w:rsidRDefault="00087B4E"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951F916" w:rsidR="00DF50B5" w:rsidRPr="00610F28" w:rsidRDefault="00087B4E"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38CD98BC" w:rsidR="00DF50B5" w:rsidRPr="00610F28" w:rsidRDefault="00087B4E"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47C247EE" w:rsidR="00DF50B5" w:rsidRPr="00610F28" w:rsidRDefault="00087B4E" w:rsidP="00610F28">
            <w:pPr>
              <w:rPr>
                <w:rFonts w:ascii="Calibri" w:hAnsi="Calibri" w:cs="Calibri"/>
              </w:rPr>
            </w:pPr>
            <w:proofErr w:type="gramStart"/>
            <w:r>
              <w:rPr>
                <w:rFonts w:ascii="Calibri" w:hAnsi="Calibri" w:cs="Calibri"/>
              </w:rPr>
              <w:t>All of</w:t>
            </w:r>
            <w:proofErr w:type="gramEnd"/>
            <w:r>
              <w:rPr>
                <w:rFonts w:ascii="Calibri" w:hAnsi="Calibri" w:cs="Calibri"/>
              </w:rPr>
              <w:t xml:space="preserve"> the above options at 3.18 may be considered when the Australian Government procures goods and services.</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0788FA0C" w:rsidR="00DF50B5" w:rsidRPr="00610F28" w:rsidRDefault="00944A57"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5AAA5935"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6FFFBABA" w:rsidR="00DF50B5" w:rsidRPr="00610F28" w:rsidRDefault="00087B4E"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0AB5C7F" w:rsidR="00DF50B5" w:rsidRPr="00610F28" w:rsidRDefault="00087B4E"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9084656" w:rsidR="00DF50B5" w:rsidRPr="00610F28" w:rsidRDefault="00087B4E"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1D7F0EB0" w:rsidR="00DF50B5" w:rsidRPr="00610F28" w:rsidRDefault="00087B4E" w:rsidP="00610F28">
            <w:pPr>
              <w:rPr>
                <w:rFonts w:ascii="Calibri" w:hAnsi="Calibri" w:cs="Calibri"/>
              </w:rPr>
            </w:pPr>
            <w:r>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43038A96" w:rsidR="00DF50B5" w:rsidRPr="00610F28" w:rsidRDefault="00944A57"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542D396B"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2CE81CCD" w:rsidR="00DF50B5" w:rsidRPr="00610F28" w:rsidRDefault="00087B4E"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2AAB809B" w:rsidR="00DF50B5" w:rsidRPr="00610F28" w:rsidRDefault="00087B4E" w:rsidP="00610F28">
            <w:pPr>
              <w:rPr>
                <w:rFonts w:ascii="Calibri" w:hAnsi="Calibri" w:cs="Calibri"/>
              </w:rPr>
            </w:pPr>
            <w:r>
              <w:rPr>
                <w:rFonts w:ascii="Calibri" w:hAnsi="Calibri" w:cs="Calibri"/>
              </w:rPr>
              <w:t xml:space="preserve">Steps 1-6 of the Guide at pages 13-30.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lastRenderedPageBreak/>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434D64D4" w:rsidR="00DF50B5" w:rsidRPr="00610F28" w:rsidRDefault="00087B4E"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0B21FE66" w:rsidR="00DF50B5" w:rsidRPr="00610F28" w:rsidRDefault="00087B4E"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32293951" w:rsidR="00DF50B5" w:rsidRPr="00610F28" w:rsidRDefault="00087B4E"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lastRenderedPageBreak/>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61AD8250" w:rsidR="00A56BE5" w:rsidRPr="00971C0E" w:rsidRDefault="00EE3B7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0718504"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0A3CC3A" w:rsidR="00A56BE5" w:rsidRPr="00971C0E" w:rsidRDefault="00EE3B7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E08A199"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225C1DD8" w:rsidR="00A56BE5" w:rsidRPr="00971C0E" w:rsidRDefault="00EE3B7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C2C5ECB"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0A1CE1AB" w:rsidR="00D94180" w:rsidRPr="00971C0E" w:rsidRDefault="0031494A" w:rsidP="00610F28">
            <w:pPr>
              <w:rPr>
                <w:rStyle w:val="normaltextrun"/>
                <w:rFonts w:cstheme="minorHAnsi"/>
                <w:color w:val="000000"/>
                <w:shd w:val="clear" w:color="auto" w:fill="FFFFFF"/>
                <w:lang w:val="en-US"/>
              </w:rPr>
            </w:pPr>
            <w:r>
              <w:t xml:space="preserve"> </w:t>
            </w:r>
            <w:r w:rsidRPr="0031494A">
              <w:rPr>
                <w:rStyle w:val="normaltextrun"/>
                <w:rFonts w:cstheme="minorHAnsi"/>
                <w:color w:val="000000"/>
                <w:shd w:val="clear" w:color="auto" w:fill="FFFFFF"/>
                <w:lang w:val="en-US"/>
              </w:rPr>
              <w:t>The Guide recommends that Commonwealth entities consider life cycle and whole-of-life costing when assessing value for money in procurement. It outlines this approach in the Value for Money section (p. 9</w:t>
            </w:r>
            <w:proofErr w:type="gramStart"/>
            <w:r w:rsidRPr="0031494A">
              <w:rPr>
                <w:rStyle w:val="normaltextrun"/>
                <w:rFonts w:cstheme="minorHAnsi"/>
                <w:color w:val="000000"/>
                <w:shd w:val="clear" w:color="auto" w:fill="FFFFFF"/>
                <w:lang w:val="en-US"/>
              </w:rPr>
              <w:t>), and</w:t>
            </w:r>
            <w:proofErr w:type="gramEnd"/>
            <w:r w:rsidRPr="0031494A">
              <w:rPr>
                <w:rStyle w:val="normaltextrun"/>
                <w:rFonts w:cstheme="minorHAnsi"/>
                <w:color w:val="000000"/>
                <w:shd w:val="clear" w:color="auto" w:fill="FFFFFF"/>
                <w:lang w:val="en-US"/>
              </w:rPr>
              <w:t xml:space="preserve"> provides detailed guidance in Step 4 – Approaching the Market (p. 22) and Step 5 – Evaluate and Debrief (p. 27), encouraging officials to assess costs across acquisition, maintenance, operation, and disposal. These provisions are advisory and aim to support environmentally sustainable decision-making.</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2D3D8776"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9C84DD9" w:rsidR="008A4685" w:rsidRPr="00610F28" w:rsidRDefault="008B7E4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6E47FB11" w:rsidR="008A4685" w:rsidRPr="00610F28" w:rsidRDefault="00087B4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5A77BED3" w:rsidR="008A4685" w:rsidRPr="00610F28" w:rsidRDefault="00087B4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EE08409" w:rsidR="008A4685" w:rsidRPr="00610F28" w:rsidRDefault="00087B4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46362FE0" w:rsidR="008A4685" w:rsidRPr="00610F28" w:rsidRDefault="00087B4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DFF61F9" w:rsidR="008A4685" w:rsidRPr="00610F28" w:rsidRDefault="008B7E4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4551A35A" w:rsidR="004557A1" w:rsidRPr="00610F28" w:rsidRDefault="00846419" w:rsidP="00610F28">
            <w:pPr>
              <w:rPr>
                <w:rStyle w:val="normaltextrun"/>
                <w:rFonts w:ascii="Calibri" w:hAnsi="Calibri" w:cs="Calibri"/>
                <w:color w:val="000000"/>
                <w:shd w:val="clear" w:color="auto" w:fill="FFFFFF"/>
                <w:lang w:val="en-US"/>
              </w:rPr>
            </w:pPr>
            <w:r w:rsidRPr="00846419">
              <w:rPr>
                <w:rStyle w:val="normaltextrun"/>
                <w:rFonts w:ascii="Calibri" w:hAnsi="Calibri" w:cs="Calibri"/>
                <w:color w:val="000000"/>
                <w:shd w:val="clear" w:color="auto" w:fill="FFFFFF"/>
                <w:lang w:val="en-US"/>
              </w:rPr>
              <w:t>The Sustainable Procurement Guide (April 2024) recommends setting environmental sustainability requirements at the tendering stage through Steps 2 to 4 (pages 15–23). Step 2 advises identifying desired sustainability outcomes via market research and supplier engagement. Step 3 guides entities to document these outcomes in procurement plans and define clear requirements—such as product features and supplier practices—for inclusion in Approach to Market (ATM) documents. Step 4 focuses on specifying these requirements in ATM documentation, including performance criteria, Key Performance Indicators (</w:t>
            </w:r>
            <w:proofErr w:type="spellStart"/>
            <w:r w:rsidRPr="00846419">
              <w:rPr>
                <w:rStyle w:val="normaltextrun"/>
                <w:rFonts w:ascii="Calibri" w:hAnsi="Calibri" w:cs="Calibri"/>
                <w:color w:val="000000"/>
                <w:shd w:val="clear" w:color="auto" w:fill="FFFFFF"/>
                <w:lang w:val="en-US"/>
              </w:rPr>
              <w:t>KPIs</w:t>
            </w:r>
            <w:proofErr w:type="spellEnd"/>
            <w:r w:rsidRPr="00846419">
              <w:rPr>
                <w:rStyle w:val="normaltextrun"/>
                <w:rFonts w:ascii="Calibri" w:hAnsi="Calibri" w:cs="Calibri"/>
                <w:color w:val="000000"/>
                <w:shd w:val="clear" w:color="auto" w:fill="FFFFFF"/>
                <w:lang w:val="en-US"/>
              </w:rPr>
              <w:t>), and evaluation methods.</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513FBFD" w:rsidR="008A4685" w:rsidRPr="00CF2E7C" w:rsidRDefault="00EA2A9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lastRenderedPageBreak/>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AB6DEAB" w:rsidR="008A4685" w:rsidRPr="00CF2E7C" w:rsidRDefault="00EA2A9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4892415" w:rsidR="008A4685" w:rsidRPr="00CF2E7C" w:rsidRDefault="00EA2A9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C3A0AEE" w:rsidR="008A4685" w:rsidRPr="00CF2E7C" w:rsidRDefault="00EA2A9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04319520" w:rsidR="008A4685" w:rsidRPr="00CF2E7C" w:rsidRDefault="00A5112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67F4921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5255C7D0"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6BE2C26F" w:rsidR="008A4685" w:rsidRPr="00CF2E7C" w:rsidRDefault="00A5112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C95EA8E"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777F5EE"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502295C9"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lastRenderedPageBreak/>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1D50549B"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2DCA8305"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4D111FF2"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5036B8B" w:rsidR="008A4685" w:rsidRPr="00CF2E7C" w:rsidRDefault="00694DB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DB87899" w:rsidR="00CD5934" w:rsidRPr="00CF2E7C" w:rsidRDefault="00694DBA"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Training, support and specialist labour may be considered at the whole-of-life costing stage (see Table 3 on page 22). The Guide also recommends corporate certification (eg ISO certifications</w:t>
            </w:r>
            <w:r w:rsidR="00271DCF">
              <w:rPr>
                <w:rStyle w:val="normaltextrun"/>
                <w:rFonts w:ascii="Calibri" w:hAnsi="Calibri" w:cs="Calibri"/>
                <w:color w:val="000000"/>
                <w:sz w:val="22"/>
                <w:szCs w:val="22"/>
                <w:shd w:val="clear" w:color="auto" w:fill="FFFFFF"/>
                <w:lang w:val="en-US"/>
              </w:rPr>
              <w:t xml:space="preserve">; other recommended </w:t>
            </w:r>
            <w:r w:rsidR="00271DCF" w:rsidRPr="00271DCF">
              <w:rPr>
                <w:rFonts w:ascii="Calibri" w:hAnsi="Calibri" w:cs="Calibri"/>
                <w:color w:val="000000"/>
                <w:sz w:val="22"/>
                <w:szCs w:val="22"/>
                <w:shd w:val="clear" w:color="auto" w:fill="FFFFFF"/>
              </w:rPr>
              <w:t>ecolabels, standards and certifications</w:t>
            </w:r>
            <w:r w:rsidR="00271DCF">
              <w:rPr>
                <w:rFonts w:ascii="Calibri" w:hAnsi="Calibri" w:cs="Calibri"/>
                <w:color w:val="000000"/>
                <w:sz w:val="22"/>
                <w:szCs w:val="22"/>
                <w:shd w:val="clear" w:color="auto" w:fill="FFFFFF"/>
              </w:rPr>
              <w:t xml:space="preserve"> are listed in Appendix A</w:t>
            </w:r>
            <w:r>
              <w:rPr>
                <w:rStyle w:val="normaltextrun"/>
                <w:rFonts w:ascii="Calibri" w:hAnsi="Calibri" w:cs="Calibri"/>
                <w:color w:val="000000"/>
                <w:sz w:val="22"/>
                <w:szCs w:val="22"/>
                <w:shd w:val="clear" w:color="auto" w:fill="FFFFFF"/>
                <w:lang w:val="en-US"/>
              </w:rPr>
              <w:t xml:space="preserve">) and provides example policy clauses and contract terms at Appendix B. </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3C1ED2F8"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05904DDD"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B922911"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13E4073"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5C3B5C5C"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6C53146E"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4A43A617"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20478A03"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3865DC4"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4C82FC1"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0EDCA2DB"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416077B0" w:rsidR="008A4685" w:rsidRPr="00CF2E7C" w:rsidRDefault="00271DC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6F2F8A21" w:rsidR="00483D65" w:rsidRPr="00CF2E7C" w:rsidRDefault="0031494A" w:rsidP="00CF2E7C">
            <w:pPr>
              <w:rPr>
                <w:rStyle w:val="normaltextrun"/>
                <w:rFonts w:ascii="Calibri" w:hAnsi="Calibri" w:cs="Calibri"/>
                <w:color w:val="000000"/>
                <w:shd w:val="clear" w:color="auto" w:fill="FFFFFF"/>
                <w:lang w:val="en-US"/>
              </w:rPr>
            </w:pPr>
            <w:r w:rsidRPr="0031494A">
              <w:rPr>
                <w:rStyle w:val="normaltextrun"/>
                <w:rFonts w:ascii="Calibri" w:hAnsi="Calibri" w:cs="Calibri"/>
                <w:color w:val="000000"/>
                <w:shd w:val="clear" w:color="auto" w:fill="FFFFFF"/>
                <w:lang w:val="en-US"/>
              </w:rPr>
              <w:t>The Guide recommends that Commonwealth entities include technical specifications related to environmental sustainability at the tendering or solicitation stage. These recommendations, outlined in Step 4 – Approaching the Market (pp. 20–21), cover areas such as energy efficiency, product carbon emissions, use of recycled materials, renewable energy sources, low-carbon technologies, sustainable production methods, end-of-life requirements, third-party certifications, and supply chain practices. Specifications may take the form of physical, functional, performance, or management requirements, and should be clearly defined to support environmentally sustainable outcomes while allowing fair competition.</w:t>
            </w:r>
            <w:r w:rsidR="001A78CF">
              <w:rPr>
                <w:rStyle w:val="normaltextrun"/>
                <w:rFonts w:ascii="Calibri" w:hAnsi="Calibri" w:cs="Calibri"/>
                <w:color w:val="000000"/>
                <w:shd w:val="clear" w:color="auto" w:fill="FFFFFF"/>
                <w:lang w:val="en-US"/>
              </w:rPr>
              <w:t xml:space="preserve"> </w:t>
            </w:r>
            <w:r>
              <w:rPr>
                <w:rStyle w:val="normaltextrun"/>
                <w:rFonts w:ascii="Calibri" w:hAnsi="Calibri" w:cs="Calibri"/>
                <w:color w:val="000000"/>
                <w:shd w:val="clear" w:color="auto" w:fill="FFFFFF"/>
                <w:lang w:val="en-US"/>
              </w:rPr>
              <w:t xml:space="preserve">However, the Guide </w:t>
            </w:r>
            <w:r w:rsidR="001A78CF">
              <w:rPr>
                <w:rStyle w:val="normaltextrun"/>
                <w:rFonts w:ascii="Calibri" w:hAnsi="Calibri" w:cs="Calibri"/>
                <w:color w:val="000000"/>
                <w:shd w:val="clear" w:color="auto" w:fill="FFFFFF"/>
                <w:lang w:val="en-US"/>
              </w:rPr>
              <w:t xml:space="preserve">does not prescribe specific targets, percentages or thresholds. </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28F78E67" w:rsidR="009A5C4E" w:rsidRPr="0074258C" w:rsidRDefault="00271DCF"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38A7D36" w:rsidR="009A5C4E" w:rsidRPr="0074258C" w:rsidRDefault="001A78CF" w:rsidP="00CF2E7C">
            <w:pPr>
              <w:rPr>
                <w:rStyle w:val="normaltextrun"/>
                <w:rFonts w:cstheme="minorHAnsi"/>
                <w:color w:val="000000"/>
                <w:shd w:val="clear" w:color="auto" w:fill="FFFFFF"/>
                <w:lang w:val="en-US"/>
              </w:rPr>
            </w:pPr>
            <w:r>
              <w:rPr>
                <w:rStyle w:val="normaltextrun"/>
                <w:rFonts w:ascii="Calibri" w:hAnsi="Calibri" w:cs="Calibri"/>
                <w:color w:val="000000"/>
                <w:sz w:val="22"/>
                <w:szCs w:val="22"/>
                <w:shd w:val="clear" w:color="auto" w:fill="FFFFFF"/>
                <w:lang w:val="en-US"/>
              </w:rPr>
              <w:t>Example policy clauses and contract terms at Appendix B.</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3C7258D3" w:rsidR="009A5C4E" w:rsidRPr="0074258C" w:rsidRDefault="00554553"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D1F2A49" w:rsidR="007802C6" w:rsidRPr="00CF2E7C" w:rsidRDefault="00763BA3"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09C66614" w:rsidR="007802C6" w:rsidRPr="00CF2E7C" w:rsidRDefault="00554553"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B46D56D" w:rsidR="007802C6" w:rsidRPr="00CF2E7C" w:rsidRDefault="0055455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07766701" w:rsidR="007802C6" w:rsidRPr="00CF2E7C" w:rsidRDefault="0055455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45A51E0" w:rsidR="007802C6" w:rsidRPr="00CF2E7C" w:rsidRDefault="0055455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803E746" w:rsidR="007802C6" w:rsidRPr="00CF2E7C" w:rsidRDefault="00554553"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8CC4DA8" w:rsidR="007802C6" w:rsidRPr="00CF2E7C" w:rsidRDefault="0055455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0CC0F27" w:rsidR="007802C6" w:rsidRPr="00CF2E7C" w:rsidRDefault="0055455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F6E454E" w:rsidR="007802C6" w:rsidRPr="00CF2E7C" w:rsidRDefault="0055455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46577A9" w:rsidR="007802C6" w:rsidRPr="00CF2E7C" w:rsidRDefault="0055455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3AC5C53" w:rsidR="007802C6" w:rsidRPr="00CF2E7C" w:rsidRDefault="00554553"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565E8C08" w:rsidR="007802C6" w:rsidRPr="00CF2E7C" w:rsidRDefault="00554553" w:rsidP="00CF2E7C">
            <w:pPr>
              <w:rPr>
                <w:rFonts w:ascii="Calibri" w:hAnsi="Calibri" w:cs="Calibri"/>
              </w:rPr>
            </w:pPr>
            <w:r>
              <w:rPr>
                <w:rFonts w:ascii="Calibri" w:hAnsi="Calibri" w:cs="Calibri"/>
              </w:rPr>
              <w:t>X</w:t>
            </w: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42EEB5F" w:rsidR="007802C6" w:rsidRPr="00CF2E7C" w:rsidRDefault="0055455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7085489" w:rsidR="007802C6" w:rsidRPr="00CF2E7C" w:rsidRDefault="0055455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359FC803" w:rsidR="007802C6" w:rsidRPr="00CF2E7C" w:rsidRDefault="0055455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DC8F66D" w:rsidR="007802C6" w:rsidRPr="00CF2E7C" w:rsidRDefault="0055455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31A29D8C" w:rsidR="007802C6" w:rsidRPr="00CF2E7C" w:rsidRDefault="0055455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682D78E" w:rsidR="007802C6" w:rsidRPr="00CF2E7C" w:rsidRDefault="0055455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718EDDD" w:rsidR="007802C6" w:rsidRPr="00CF2E7C" w:rsidRDefault="009960C1"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2494384E" w:rsidR="007802C6" w:rsidRPr="00CF2E7C" w:rsidRDefault="0055455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0406B779" w:rsidR="007802C6" w:rsidRPr="00CF2E7C" w:rsidRDefault="007802C6" w:rsidP="00CF2E7C">
            <w:pPr>
              <w:rPr>
                <w:rFonts w:ascii="Calibri" w:hAnsi="Calibri" w:cs="Calibri"/>
              </w:rPr>
            </w:pPr>
          </w:p>
        </w:tc>
        <w:tc>
          <w:tcPr>
            <w:tcW w:w="1715" w:type="dxa"/>
            <w:vAlign w:val="center"/>
          </w:tcPr>
          <w:p w14:paraId="797FEE43" w14:textId="10B95695" w:rsidR="007802C6" w:rsidRPr="00CF2E7C" w:rsidRDefault="00554553"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8076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8076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8076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0E3F40">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AC09A9" w14:textId="77777777" w:rsidR="00383021" w:rsidRDefault="00383021" w:rsidP="00874E39">
      <w:r>
        <w:separator/>
      </w:r>
    </w:p>
  </w:endnote>
  <w:endnote w:type="continuationSeparator" w:id="0">
    <w:p w14:paraId="55686D50" w14:textId="77777777" w:rsidR="00383021" w:rsidRDefault="00383021" w:rsidP="00874E39">
      <w:r>
        <w:continuationSeparator/>
      </w:r>
    </w:p>
  </w:endnote>
  <w:endnote w:type="continuationNotice" w:id="1">
    <w:p w14:paraId="1CCEC9D6" w14:textId="77777777" w:rsidR="00383021" w:rsidRDefault="003830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1CE3990" w:rsidR="00874E39" w:rsidRDefault="00175DF6" w:rsidP="00874E39">
    <w:pPr>
      <w:pStyle w:val="Footer"/>
      <w:ind w:right="360"/>
    </w:pPr>
    <w:fldSimple w:instr=" DOCPROPERTY DocumentID \* MERGEFORMAT ">
      <w:r w:rsidRPr="00175DF6">
        <w:rPr>
          <w:color w:val="191919"/>
          <w:sz w:val="13"/>
        </w:rPr>
        <w:t>ME_954005954_3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684966DE" w14:textId="5FA5DB9B" w:rsidR="003A05E1" w:rsidRDefault="00175DF6" w:rsidP="00874E39">
    <w:pPr>
      <w:pStyle w:val="Footer"/>
      <w:ind w:right="360"/>
    </w:pPr>
    <w:fldSimple w:instr=" DOCPROPERTY DocumentID \* MERGEFORMAT ">
      <w:r w:rsidRPr="00175DF6">
        <w:rPr>
          <w:color w:val="191919"/>
          <w:sz w:val="13"/>
        </w:rPr>
        <w:t>ME_954005954_3</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13EAA655" w14:textId="5D3A934B" w:rsidR="003A05E1" w:rsidRPr="004C3A52" w:rsidRDefault="00175DF6"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175DF6">
      <w:rPr>
        <w:b/>
        <w:bCs/>
        <w:color w:val="191919"/>
        <w:sz w:val="13"/>
        <w:szCs w:val="32"/>
      </w:rPr>
      <w:t>ME_954005954_3</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FE769B" w14:textId="77777777" w:rsidR="00383021" w:rsidRDefault="00383021" w:rsidP="00874E39">
      <w:r>
        <w:separator/>
      </w:r>
    </w:p>
  </w:footnote>
  <w:footnote w:type="continuationSeparator" w:id="0">
    <w:p w14:paraId="77546F6E" w14:textId="77777777" w:rsidR="00383021" w:rsidRDefault="00383021" w:rsidP="00874E39">
      <w:r>
        <w:continuationSeparator/>
      </w:r>
    </w:p>
  </w:footnote>
  <w:footnote w:type="continuationNotice" w:id="1">
    <w:p w14:paraId="2C21DF02" w14:textId="77777777" w:rsidR="00383021" w:rsidRDefault="0038302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8CAFA2" w14:textId="77777777" w:rsidR="003A05E1" w:rsidRDefault="003A05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D877E" w14:textId="77777777" w:rsidR="003A05E1" w:rsidRDefault="003A05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992669A"/>
    <w:multiLevelType w:val="hybridMultilevel"/>
    <w:tmpl w:val="D90E7F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950818767">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FE1"/>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B4E"/>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3C68"/>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3F40"/>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2A7"/>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576E7"/>
    <w:rsid w:val="0016002C"/>
    <w:rsid w:val="00160486"/>
    <w:rsid w:val="001604B3"/>
    <w:rsid w:val="00161D1B"/>
    <w:rsid w:val="00162CC0"/>
    <w:rsid w:val="00164519"/>
    <w:rsid w:val="00172B85"/>
    <w:rsid w:val="00173D7C"/>
    <w:rsid w:val="0017449C"/>
    <w:rsid w:val="001749C3"/>
    <w:rsid w:val="00175DF6"/>
    <w:rsid w:val="00176011"/>
    <w:rsid w:val="00180289"/>
    <w:rsid w:val="00182288"/>
    <w:rsid w:val="00182646"/>
    <w:rsid w:val="00183170"/>
    <w:rsid w:val="00183ED3"/>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0DD"/>
    <w:rsid w:val="001A6414"/>
    <w:rsid w:val="001A660D"/>
    <w:rsid w:val="001A6E92"/>
    <w:rsid w:val="001A6EEE"/>
    <w:rsid w:val="001A764D"/>
    <w:rsid w:val="001A78CF"/>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5DB"/>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DCF"/>
    <w:rsid w:val="00272D9A"/>
    <w:rsid w:val="002737EF"/>
    <w:rsid w:val="00274335"/>
    <w:rsid w:val="00274864"/>
    <w:rsid w:val="00274B22"/>
    <w:rsid w:val="00277FC5"/>
    <w:rsid w:val="00284ADD"/>
    <w:rsid w:val="00285DA7"/>
    <w:rsid w:val="00286683"/>
    <w:rsid w:val="00286FE0"/>
    <w:rsid w:val="002878A1"/>
    <w:rsid w:val="002912CD"/>
    <w:rsid w:val="0029565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6F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494A"/>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A88"/>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7E"/>
    <w:rsid w:val="00377281"/>
    <w:rsid w:val="0037E466"/>
    <w:rsid w:val="003811C3"/>
    <w:rsid w:val="003817C1"/>
    <w:rsid w:val="00381CDC"/>
    <w:rsid w:val="00381E8A"/>
    <w:rsid w:val="00381FD3"/>
    <w:rsid w:val="00383021"/>
    <w:rsid w:val="00385566"/>
    <w:rsid w:val="00386B53"/>
    <w:rsid w:val="0038785C"/>
    <w:rsid w:val="0039010E"/>
    <w:rsid w:val="00390B82"/>
    <w:rsid w:val="00390EB0"/>
    <w:rsid w:val="0039223F"/>
    <w:rsid w:val="00392F82"/>
    <w:rsid w:val="0039353D"/>
    <w:rsid w:val="003937AD"/>
    <w:rsid w:val="00393BA9"/>
    <w:rsid w:val="0039625A"/>
    <w:rsid w:val="003A05E1"/>
    <w:rsid w:val="003A0C73"/>
    <w:rsid w:val="003A144F"/>
    <w:rsid w:val="003A2976"/>
    <w:rsid w:val="003A2E5E"/>
    <w:rsid w:val="003A4A9F"/>
    <w:rsid w:val="003A52E3"/>
    <w:rsid w:val="003A5B03"/>
    <w:rsid w:val="003B0628"/>
    <w:rsid w:val="003B3C0F"/>
    <w:rsid w:val="003B48DC"/>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08D"/>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345"/>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1EA"/>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2E40"/>
    <w:rsid w:val="00543246"/>
    <w:rsid w:val="005439FC"/>
    <w:rsid w:val="00543A7C"/>
    <w:rsid w:val="00543D45"/>
    <w:rsid w:val="00544705"/>
    <w:rsid w:val="00545554"/>
    <w:rsid w:val="0054662E"/>
    <w:rsid w:val="0054680A"/>
    <w:rsid w:val="00547B98"/>
    <w:rsid w:val="0055251F"/>
    <w:rsid w:val="00553BB6"/>
    <w:rsid w:val="00554079"/>
    <w:rsid w:val="00554553"/>
    <w:rsid w:val="00554F39"/>
    <w:rsid w:val="0055593D"/>
    <w:rsid w:val="005576AE"/>
    <w:rsid w:val="00561537"/>
    <w:rsid w:val="00563224"/>
    <w:rsid w:val="00563432"/>
    <w:rsid w:val="00565E6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5D1C"/>
    <w:rsid w:val="00616D73"/>
    <w:rsid w:val="00617678"/>
    <w:rsid w:val="00620CAC"/>
    <w:rsid w:val="006225F1"/>
    <w:rsid w:val="006229D5"/>
    <w:rsid w:val="006231E7"/>
    <w:rsid w:val="006239D6"/>
    <w:rsid w:val="00626B40"/>
    <w:rsid w:val="00630141"/>
    <w:rsid w:val="00630D85"/>
    <w:rsid w:val="006317B0"/>
    <w:rsid w:val="00631996"/>
    <w:rsid w:val="00631AAB"/>
    <w:rsid w:val="006321A7"/>
    <w:rsid w:val="00633547"/>
    <w:rsid w:val="00633612"/>
    <w:rsid w:val="00633E8C"/>
    <w:rsid w:val="0063488C"/>
    <w:rsid w:val="00636096"/>
    <w:rsid w:val="00636A0F"/>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7754B"/>
    <w:rsid w:val="006801E4"/>
    <w:rsid w:val="006804C5"/>
    <w:rsid w:val="00683A9D"/>
    <w:rsid w:val="00683DB5"/>
    <w:rsid w:val="00685A4F"/>
    <w:rsid w:val="006878AC"/>
    <w:rsid w:val="00690B2A"/>
    <w:rsid w:val="006936EF"/>
    <w:rsid w:val="006943E9"/>
    <w:rsid w:val="00694DBA"/>
    <w:rsid w:val="00695F64"/>
    <w:rsid w:val="006960C9"/>
    <w:rsid w:val="00696548"/>
    <w:rsid w:val="00696D68"/>
    <w:rsid w:val="006A00E0"/>
    <w:rsid w:val="006A103A"/>
    <w:rsid w:val="006A2168"/>
    <w:rsid w:val="006A21C6"/>
    <w:rsid w:val="006A308E"/>
    <w:rsid w:val="006A3518"/>
    <w:rsid w:val="006A4C24"/>
    <w:rsid w:val="006A4C9F"/>
    <w:rsid w:val="006A63B5"/>
    <w:rsid w:val="006B07E5"/>
    <w:rsid w:val="006B090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D70"/>
    <w:rsid w:val="00702E5A"/>
    <w:rsid w:val="00703034"/>
    <w:rsid w:val="007032D7"/>
    <w:rsid w:val="007039A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2AA"/>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D9D"/>
    <w:rsid w:val="00756E62"/>
    <w:rsid w:val="007600D1"/>
    <w:rsid w:val="007615D2"/>
    <w:rsid w:val="00763BA3"/>
    <w:rsid w:val="00763C64"/>
    <w:rsid w:val="00764D1A"/>
    <w:rsid w:val="00764DB3"/>
    <w:rsid w:val="00765130"/>
    <w:rsid w:val="007653FB"/>
    <w:rsid w:val="0076706A"/>
    <w:rsid w:val="00767717"/>
    <w:rsid w:val="0077017A"/>
    <w:rsid w:val="007710D7"/>
    <w:rsid w:val="007719A2"/>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419"/>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9AB"/>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42"/>
    <w:rsid w:val="008B7E8C"/>
    <w:rsid w:val="008B7F82"/>
    <w:rsid w:val="008C00B8"/>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0E4"/>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C18"/>
    <w:rsid w:val="009307C9"/>
    <w:rsid w:val="0093086E"/>
    <w:rsid w:val="00931F08"/>
    <w:rsid w:val="00932230"/>
    <w:rsid w:val="0093344C"/>
    <w:rsid w:val="009338F2"/>
    <w:rsid w:val="00933F3C"/>
    <w:rsid w:val="00934657"/>
    <w:rsid w:val="009370E9"/>
    <w:rsid w:val="00937D9B"/>
    <w:rsid w:val="00940E65"/>
    <w:rsid w:val="0094115B"/>
    <w:rsid w:val="0094225F"/>
    <w:rsid w:val="00944A57"/>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0C1"/>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80A"/>
    <w:rsid w:val="00A40404"/>
    <w:rsid w:val="00A42235"/>
    <w:rsid w:val="00A42858"/>
    <w:rsid w:val="00A43199"/>
    <w:rsid w:val="00A43AFC"/>
    <w:rsid w:val="00A445CD"/>
    <w:rsid w:val="00A45776"/>
    <w:rsid w:val="00A46507"/>
    <w:rsid w:val="00A46BEA"/>
    <w:rsid w:val="00A47C6E"/>
    <w:rsid w:val="00A501D9"/>
    <w:rsid w:val="00A503F1"/>
    <w:rsid w:val="00A51120"/>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49"/>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07BD"/>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CF8"/>
    <w:rsid w:val="00BB44CD"/>
    <w:rsid w:val="00BB58AA"/>
    <w:rsid w:val="00BB667C"/>
    <w:rsid w:val="00BB6BBD"/>
    <w:rsid w:val="00BB7964"/>
    <w:rsid w:val="00BB7CE1"/>
    <w:rsid w:val="00BC0309"/>
    <w:rsid w:val="00BC1037"/>
    <w:rsid w:val="00BC2F0B"/>
    <w:rsid w:val="00BC3206"/>
    <w:rsid w:val="00BC4832"/>
    <w:rsid w:val="00BC5451"/>
    <w:rsid w:val="00BC5744"/>
    <w:rsid w:val="00BC5B8A"/>
    <w:rsid w:val="00BC7B24"/>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C29"/>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57D"/>
    <w:rsid w:val="00C20109"/>
    <w:rsid w:val="00C20FC8"/>
    <w:rsid w:val="00C227D5"/>
    <w:rsid w:val="00C228DF"/>
    <w:rsid w:val="00C2454C"/>
    <w:rsid w:val="00C251E0"/>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01E"/>
    <w:rsid w:val="00C56D45"/>
    <w:rsid w:val="00C57511"/>
    <w:rsid w:val="00C6146F"/>
    <w:rsid w:val="00C61C00"/>
    <w:rsid w:val="00C62AF0"/>
    <w:rsid w:val="00C636BA"/>
    <w:rsid w:val="00C63A43"/>
    <w:rsid w:val="00C648D8"/>
    <w:rsid w:val="00C6506A"/>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765"/>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4CB"/>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66C"/>
    <w:rsid w:val="00D004AD"/>
    <w:rsid w:val="00D01B92"/>
    <w:rsid w:val="00D02935"/>
    <w:rsid w:val="00D02C80"/>
    <w:rsid w:val="00D02FA1"/>
    <w:rsid w:val="00D056E9"/>
    <w:rsid w:val="00D07A89"/>
    <w:rsid w:val="00D10F76"/>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784"/>
    <w:rsid w:val="00DC18A5"/>
    <w:rsid w:val="00DC1D8C"/>
    <w:rsid w:val="00DC231D"/>
    <w:rsid w:val="00DC31BF"/>
    <w:rsid w:val="00DC33EF"/>
    <w:rsid w:val="00DC4911"/>
    <w:rsid w:val="00DC4958"/>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50D"/>
    <w:rsid w:val="00E11F06"/>
    <w:rsid w:val="00E121D3"/>
    <w:rsid w:val="00E122B2"/>
    <w:rsid w:val="00E12745"/>
    <w:rsid w:val="00E12B4B"/>
    <w:rsid w:val="00E139A9"/>
    <w:rsid w:val="00E1412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437"/>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486E"/>
    <w:rsid w:val="00E75B8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A3A"/>
    <w:rsid w:val="00EA1CEC"/>
    <w:rsid w:val="00EA1D6A"/>
    <w:rsid w:val="00EA2A9C"/>
    <w:rsid w:val="00EA38F1"/>
    <w:rsid w:val="00EA3D7B"/>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B77"/>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D8D"/>
    <w:rsid w:val="00F60B38"/>
    <w:rsid w:val="00F6108E"/>
    <w:rsid w:val="00F61CB7"/>
    <w:rsid w:val="00F6292A"/>
    <w:rsid w:val="00F62C69"/>
    <w:rsid w:val="00F63214"/>
    <w:rsid w:val="00F632FB"/>
    <w:rsid w:val="00F63EEB"/>
    <w:rsid w:val="00F64C00"/>
    <w:rsid w:val="00F64DA9"/>
    <w:rsid w:val="00F65C81"/>
    <w:rsid w:val="00F6770E"/>
    <w:rsid w:val="00F704D9"/>
    <w:rsid w:val="00F70A0D"/>
    <w:rsid w:val="00F74037"/>
    <w:rsid w:val="00F7455B"/>
    <w:rsid w:val="00F746AC"/>
    <w:rsid w:val="00F74B9D"/>
    <w:rsid w:val="00F75058"/>
    <w:rsid w:val="00F75726"/>
    <w:rsid w:val="00F7660F"/>
    <w:rsid w:val="00F768AD"/>
    <w:rsid w:val="00F76B75"/>
    <w:rsid w:val="00F774EE"/>
    <w:rsid w:val="00F779B1"/>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588"/>
    <w:rsid w:val="00FC6955"/>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28083043/https:/apco.org.au/national-packaging-target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314074329/https:/www.dcceew.gov.au/environment/protection/waste/sustainable-procurement/toolki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41004041359/https:/www.dcceew.gov.au/sites/default/files/documents/sustainable-procurement-guide-202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113</Pages>
  <Words>22636</Words>
  <Characters>129028</Characters>
  <Application>Microsoft Office Word</Application>
  <DocSecurity>0</DocSecurity>
  <Lines>1075</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14</cp:revision>
  <cp:lastPrinted>2025-03-21T00:14:00Z</cp:lastPrinted>
  <dcterms:created xsi:type="dcterms:W3CDTF">2025-07-17T00:01:00Z</dcterms:created>
  <dcterms:modified xsi:type="dcterms:W3CDTF">2025-07-17T00:09:00Z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ME_954005954_3</vt:lpwstr>
  </property>
  <property fmtid="{D5CDD505-2E9C-101B-9397-08002B2CF9AE}" pid="6" name="Custom1">
    <vt:lpwstr>1543559</vt:lpwstr>
  </property>
</Properties>
</file>